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D50" w:rsidRPr="00EF1442" w:rsidRDefault="00421D50" w:rsidP="00421D50">
      <w:pPr>
        <w:pStyle w:val="Title"/>
        <w:spacing w:before="480" w:after="120"/>
        <w:rPr>
          <w:rFonts w:ascii="Calibri" w:hAnsi="Calibri"/>
          <w:color w:val="00558C"/>
          <w:sz w:val="40"/>
          <w:szCs w:val="40"/>
        </w:rPr>
      </w:pPr>
      <w:r w:rsidRPr="00EF1442">
        <w:rPr>
          <w:rFonts w:ascii="Calibri" w:hAnsi="Calibri"/>
          <w:color w:val="00558C"/>
          <w:sz w:val="40"/>
          <w:szCs w:val="40"/>
        </w:rPr>
        <w:t xml:space="preserve">Liaison Note to </w:t>
      </w:r>
      <w:r w:rsidR="002836C8">
        <w:rPr>
          <w:rFonts w:ascii="Calibri" w:hAnsi="Calibri"/>
          <w:color w:val="00558C"/>
          <w:sz w:val="40"/>
          <w:szCs w:val="40"/>
        </w:rPr>
        <w:t>IHO</w:t>
      </w:r>
    </w:p>
    <w:p w:rsidR="00421D50" w:rsidRPr="005A638C" w:rsidRDefault="002836C8" w:rsidP="00421D50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IALA Guideline on IP (Web Service) based S-100 data exchange</w:t>
      </w:r>
    </w:p>
    <w:p w:rsidR="0064435F" w:rsidRPr="005A638C" w:rsidRDefault="0064435F" w:rsidP="005A638C">
      <w:pPr>
        <w:pStyle w:val="Heading1"/>
      </w:pPr>
      <w:r w:rsidRPr="005A638C">
        <w:t>Introduction</w:t>
      </w:r>
    </w:p>
    <w:p w:rsidR="002836C8" w:rsidRDefault="002836C8" w:rsidP="002836C8">
      <w:pPr>
        <w:pStyle w:val="BodyText"/>
      </w:pPr>
      <w:r>
        <w:t xml:space="preserve">With the introduction of Section 14 in the S-100 standard, an alternative mechanism for efficient, fine-grained S-100 data exchange is available. This Guideline provides guidance on the application of reliable and efficient IP (Web Service) based communication for the exchange of S-100 data. </w:t>
      </w:r>
    </w:p>
    <w:p w:rsidR="002836C8" w:rsidRDefault="002836C8" w:rsidP="002836C8">
      <w:pPr>
        <w:pStyle w:val="BodyText"/>
      </w:pPr>
      <w:r>
        <w:t>The S-100 online data exchange model allows frequent transmission of data, enabling continuous information exchange between e-Navigation applications and efficient usage of available (limited / expensive) bandwidth. This is an important building block for technical services for the implementation of maritime services in the context of e-Navigation.</w:t>
      </w:r>
    </w:p>
    <w:p w:rsidR="002836C8" w:rsidRDefault="002836C8" w:rsidP="002836C8">
      <w:pPr>
        <w:pStyle w:val="BodyText"/>
      </w:pPr>
      <w:r>
        <w:t xml:space="preserve">It also facilitates the realization of service-oriented architectures (SOA) using S-100. </w:t>
      </w:r>
    </w:p>
    <w:p w:rsidR="002836C8" w:rsidRDefault="002836C8" w:rsidP="002836C8">
      <w:pPr>
        <w:pStyle w:val="BodyText"/>
      </w:pPr>
      <w:r>
        <w:t xml:space="preserve">This Guideline introduces the relevant technologies and explains the transmission of S-100 data with Web Services. In the Appendix, an example of the implementation of such a Web Service for the provision of Maritime Safety Information using S-124, is shown. This includes the specification of this Web Service according to IALA Guideline G1128 (Specification of E-Navigation Technical Services). </w:t>
      </w:r>
    </w:p>
    <w:p w:rsidR="00B8247E" w:rsidRPr="005A638C" w:rsidRDefault="002836C8" w:rsidP="002836C8">
      <w:pPr>
        <w:pStyle w:val="BodyText"/>
      </w:pPr>
      <w:r>
        <w:t xml:space="preserve">This Guideline is intended for service providers, system architects and developers, who are designing S-100 based technical services implementing Maritime Services in context of e-Navigation.  </w:t>
      </w:r>
    </w:p>
    <w:p w:rsidR="009F5C36" w:rsidRPr="005A638C" w:rsidRDefault="00AA76C0" w:rsidP="005A638C">
      <w:pPr>
        <w:pStyle w:val="Heading1"/>
      </w:pPr>
      <w:r w:rsidRPr="005A638C">
        <w:t>Action requested</w:t>
      </w:r>
    </w:p>
    <w:p w:rsidR="004C220D" w:rsidRDefault="00902AA4" w:rsidP="00BC3FB4">
      <w:pPr>
        <w:pStyle w:val="BodyText"/>
      </w:pPr>
      <w:r w:rsidRPr="005A638C">
        <w:t xml:space="preserve">The </w:t>
      </w:r>
      <w:r w:rsidR="002836C8">
        <w:t xml:space="preserve">IHO S-100 Working Group </w:t>
      </w:r>
      <w:r w:rsidRPr="005A638C">
        <w:t>is requested to</w:t>
      </w:r>
      <w:r w:rsidR="00630F7F" w:rsidRPr="005A638C">
        <w:t>:</w:t>
      </w:r>
    </w:p>
    <w:p w:rsidR="002836C8" w:rsidRDefault="002836C8" w:rsidP="002836C8">
      <w:pPr>
        <w:pStyle w:val="BodyText"/>
        <w:numPr>
          <w:ilvl w:val="0"/>
          <w:numId w:val="30"/>
        </w:numPr>
      </w:pPr>
      <w:r>
        <w:t>Note the attached draft Guideline and provide feedback to IALA ENAV Committee (</w:t>
      </w:r>
      <w:r>
        <w:rPr>
          <w:highlight w:val="yellow"/>
        </w:rPr>
        <w:t>b</w:t>
      </w:r>
      <w:r w:rsidR="00114CAC">
        <w:rPr>
          <w:highlight w:val="yellow"/>
        </w:rPr>
        <w:t>efore ENAV25 which commences</w:t>
      </w:r>
      <w:bookmarkStart w:id="0" w:name="_GoBack"/>
      <w:bookmarkEnd w:id="0"/>
      <w:r w:rsidR="00114CAC">
        <w:rPr>
          <w:highlight w:val="yellow"/>
        </w:rPr>
        <w:t xml:space="preserve"> on the 16 March</w:t>
      </w:r>
      <w:r w:rsidR="0047785C">
        <w:rPr>
          <w:highlight w:val="yellow"/>
        </w:rPr>
        <w:t xml:space="preserve"> 2020</w:t>
      </w:r>
      <w:r w:rsidRPr="003F4364">
        <w:rPr>
          <w:highlight w:val="yellow"/>
        </w:rPr>
        <w:t>)</w:t>
      </w:r>
      <w:r w:rsidR="005B50DE">
        <w:t>.</w:t>
      </w:r>
    </w:p>
    <w:p w:rsidR="002836C8" w:rsidRPr="002836C8" w:rsidRDefault="002836C8" w:rsidP="002836C8">
      <w:pPr>
        <w:pStyle w:val="BodyText"/>
        <w:numPr>
          <w:ilvl w:val="0"/>
          <w:numId w:val="30"/>
        </w:numPr>
      </w:pPr>
      <w:r w:rsidRPr="002836C8">
        <w:t xml:space="preserve">Consider integrating the feature </w:t>
      </w:r>
      <w:r w:rsidR="005B50DE">
        <w:t>‘</w:t>
      </w:r>
      <w:r w:rsidRPr="002836C8">
        <w:t>Streamable_Exchangeset</w:t>
      </w:r>
      <w:r w:rsidR="005B50DE">
        <w:t>’</w:t>
      </w:r>
      <w:r w:rsidRPr="002836C8">
        <w:t xml:space="preserve"> in</w:t>
      </w:r>
      <w:r w:rsidR="005B50DE">
        <w:t xml:space="preserve">to the S-100 standard. </w:t>
      </w:r>
      <w:r w:rsidRPr="002836C8">
        <w:t xml:space="preserve">This will support secure data exchange for online services. </w:t>
      </w:r>
    </w:p>
    <w:p w:rsidR="002836C8" w:rsidRPr="002836C8" w:rsidRDefault="002836C8" w:rsidP="002836C8">
      <w:pPr>
        <w:pStyle w:val="Bullet1"/>
        <w:numPr>
          <w:ilvl w:val="0"/>
          <w:numId w:val="30"/>
        </w:numPr>
        <w:tabs>
          <w:tab w:val="left" w:pos="851"/>
        </w:tabs>
        <w:rPr>
          <w:rFonts w:asciiTheme="minorHAnsi" w:hAnsiTheme="minorHAnsi" w:cstheme="minorHAnsi"/>
          <w:lang w:val="en-GB"/>
        </w:rPr>
      </w:pPr>
      <w:r w:rsidRPr="002836C8">
        <w:rPr>
          <w:rFonts w:asciiTheme="minorHAnsi" w:hAnsiTheme="minorHAnsi" w:cstheme="minorHAnsi"/>
          <w:lang w:val="en-GB"/>
        </w:rPr>
        <w:t xml:space="preserve">Forward this </w:t>
      </w:r>
      <w:r w:rsidR="005B50DE">
        <w:rPr>
          <w:rFonts w:asciiTheme="minorHAnsi" w:hAnsiTheme="minorHAnsi" w:cstheme="minorHAnsi"/>
          <w:lang w:val="en-GB"/>
        </w:rPr>
        <w:t>L</w:t>
      </w:r>
      <w:r w:rsidRPr="002836C8">
        <w:rPr>
          <w:rFonts w:asciiTheme="minorHAnsi" w:hAnsiTheme="minorHAnsi" w:cstheme="minorHAnsi"/>
          <w:lang w:val="en-GB"/>
        </w:rPr>
        <w:t xml:space="preserve">iaison </w:t>
      </w:r>
      <w:r w:rsidR="005B50DE">
        <w:rPr>
          <w:rFonts w:asciiTheme="minorHAnsi" w:hAnsiTheme="minorHAnsi" w:cstheme="minorHAnsi"/>
          <w:lang w:val="en-GB"/>
        </w:rPr>
        <w:t>N</w:t>
      </w:r>
      <w:r w:rsidRPr="002836C8">
        <w:rPr>
          <w:rFonts w:asciiTheme="minorHAnsi" w:hAnsiTheme="minorHAnsi" w:cstheme="minorHAnsi"/>
          <w:lang w:val="en-GB"/>
        </w:rPr>
        <w:t>ote to the S-124 CG for any action they may wish to take</w:t>
      </w:r>
      <w:r w:rsidR="005B50DE">
        <w:rPr>
          <w:rFonts w:asciiTheme="minorHAnsi" w:hAnsiTheme="minorHAnsi" w:cstheme="minorHAnsi"/>
          <w:lang w:val="en-GB"/>
        </w:rPr>
        <w:t>.</w:t>
      </w:r>
    </w:p>
    <w:p w:rsidR="002836C8" w:rsidRPr="005A638C" w:rsidRDefault="002836C8" w:rsidP="00BC3FB4">
      <w:pPr>
        <w:pStyle w:val="BodyText"/>
      </w:pPr>
    </w:p>
    <w:sectPr w:rsidR="002836C8" w:rsidRPr="005A638C" w:rsidSect="003F09F0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118" w:rsidRDefault="004E5118" w:rsidP="003F09F0">
      <w:r>
        <w:separator/>
      </w:r>
    </w:p>
  </w:endnote>
  <w:endnote w:type="continuationSeparator" w:id="0">
    <w:p w:rsidR="004E5118" w:rsidRDefault="004E5118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AF21AC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1AC" w:rsidRDefault="005A638C" w:rsidP="005A638C">
    <w:pPr>
      <w:pStyle w:val="Footer"/>
      <w:jc w:val="right"/>
    </w:pPr>
    <w:r w:rsidRPr="00442889"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5833D671" wp14:editId="57B69D84">
          <wp:simplePos x="0" y="0"/>
          <wp:positionH relativeFrom="page">
            <wp:posOffset>720090</wp:posOffset>
          </wp:positionH>
          <wp:positionV relativeFrom="page">
            <wp:posOffset>9967912</wp:posOffset>
          </wp:positionV>
          <wp:extent cx="3248025" cy="718820"/>
          <wp:effectExtent l="0" t="0" r="9525" b="5080"/>
          <wp:wrapNone/>
          <wp:docPr id="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8025" cy="718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21AC"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114CAC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118" w:rsidRDefault="004E5118" w:rsidP="003F09F0">
      <w:r>
        <w:separator/>
      </w:r>
    </w:p>
  </w:footnote>
  <w:footnote w:type="continuationSeparator" w:id="0">
    <w:p w:rsidR="004E5118" w:rsidRDefault="004E5118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C265626" wp14:editId="65C3F301">
              <wp:simplePos x="0" y="0"/>
              <wp:positionH relativeFrom="column">
                <wp:posOffset>3256598</wp:posOffset>
              </wp:positionH>
              <wp:positionV relativeFrom="paragraph">
                <wp:posOffset>-12382</wp:posOffset>
              </wp:positionV>
              <wp:extent cx="2862580" cy="876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421D50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421D50" w:rsidRPr="00FA1D76" w:rsidRDefault="00421D50" w:rsidP="00421D50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A1D76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FA1D76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Pr="00002602">
                                  <w:rPr>
                                    <w:rFonts w:ascii="Calibri" w:hAnsi="Calibri"/>
                                  </w:rPr>
                                  <w:t>IALA</w:t>
                                </w:r>
                                <w:r w:rsidR="002836C8" w:rsidRPr="00002602">
                                  <w:rPr>
                                    <w:rFonts w:ascii="Calibri" w:hAnsi="Calibri"/>
                                  </w:rPr>
                                  <w:t xml:space="preserve"> ENAV</w:t>
                                </w:r>
                                <w:r w:rsidR="005C5AC7" w:rsidRPr="00002602">
                                  <w:rPr>
                                    <w:rFonts w:ascii="Calibri" w:hAnsi="Calibri"/>
                                  </w:rPr>
                                  <w:t xml:space="preserve"> </w:t>
                                </w:r>
                                <w:r w:rsidRPr="00002602">
                                  <w:rPr>
                                    <w:rFonts w:ascii="Calibri" w:hAnsi="Calibri"/>
                                  </w:rPr>
                                  <w:t>Committee</w:t>
                                </w:r>
                              </w:p>
                            </w:tc>
                          </w:tr>
                          <w:tr w:rsidR="00421D50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421D50" w:rsidRPr="00FA1D76" w:rsidRDefault="00421D50" w:rsidP="005C5AC7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A1D76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FA1D76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2836C8">
                                  <w:rPr>
                                    <w:rFonts w:ascii="Calibri" w:hAnsi="Calibri"/>
                                  </w:rPr>
                                  <w:t>ENAV24-12.3.3</w:t>
                                </w:r>
                              </w:p>
                            </w:tc>
                          </w:tr>
                          <w:tr w:rsidR="00421D50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421D50" w:rsidRPr="00FA1D76" w:rsidRDefault="00002602" w:rsidP="00421D50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</w:rPr>
                                  <w:t>11 October</w:t>
                                </w:r>
                                <w:r w:rsidR="00421D50" w:rsidRPr="00FA1D76">
                                  <w:rPr>
                                    <w:rFonts w:ascii="Calibri" w:hAnsi="Calibri"/>
                                  </w:rPr>
                                  <w:t xml:space="preserve"> 201</w:t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>9</w:t>
                                </w:r>
                              </w:p>
                            </w:tc>
                          </w:tr>
                        </w:tbl>
                        <w:p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6562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45pt;margin-top:-.95pt;width:225.4pt;height:6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8aGOAIAADkEAAAOAAAAZHJzL2Uyb0RvYy54bWysU9uO2jAQfa/Uf7D8DglpgAQRVguIqtL2&#10;Iu32AxzHuaiJx7UNCa367x07QGn7VjUPVsYzc2bmHM/6YehachLaNCAzOpuGlAjJoWhkldHPL4dJ&#10;QomxTBasBSkyehaGPmxev1r3aiUiqKEthCYIIs2qVxmtrVWrIDC8Fh0zU1BCorME3TGLpq6CQrMe&#10;0bs2iMJwEfSgC6WBC2Pwdj866cbjl6Xg9mNZGmFJm1HszfpT+zN3Z7BZs1WlmaobfmmD/UMXHWsk&#10;Fr1B7Zll5Kibv6C6hmswUNophy6Asmy48DPgNLPwj2mea6aEnwXJMepGk/l/sPzD6ZMmTZHRiBLJ&#10;OpToRQyWbGEgM8dOr8wKg54VhtkBr1FlP6lRT8C/GCJhVzNZiUetoa8FK7A7nxncpY44xoHk/Xso&#10;sAw7WvBAQ6k7Rx2SQRAdVTrflHGtcLyMkkU0T9DF0ZcsF29CL13AVtdspY19K6Aj7iejGpX36Oz0&#10;ZCzOgaHXEFfMQNsUh6ZtvaGrfNdqcmL4Sg7+c6Njym9hrXTBElza6B5vsEms4XyuXa/693QWxeE2&#10;SieHRbKcxGU8n6TLMJmEs3SbLsI4jfeHH5ci13xPmONoZMsO+XARIIfijNRpGN8v7hv+1KC/UdLj&#10;282o+XpkWlDSvpNIfzqLY/fYvRHPlxEa+t6T33uY5AiVUUvJ+Luz44IclW6qGiuNgkt4RMnKxrPp&#10;tB27Qp6cge/TM3bZJbcA97aP+rXxm58AAAD//wMAUEsDBBQABgAIAAAAIQDI0wxF3wAAAAoBAAAP&#10;AAAAZHJzL2Rvd25yZXYueG1sTI/BToNAEIbvJr7DZky8mHahtSCUpVETjdfWPsDAToGU3SXsttC3&#10;dzzpaTKZL/98f7GbTS+uNPrOWQXxMgJBtna6s42C4/fH4gWED2g19s6Sght52JX3dwXm2k12T9dD&#10;aASHWJ+jgjaEIZfS1y0Z9Es3kOXbyY0GA69jI/WIE4ebXq6iKJEGO8sfWhzovaX6fLgYBaev6WmT&#10;TdVnOKb75+QNu7RyN6UeH+bXLYhAc/iD4Vef1aFkp8pdrPaiV7CJVxmjChYxTwayZJ2CqJhcJzHI&#10;spD/K5Q/AAAA//8DAFBLAQItABQABgAIAAAAIQC2gziS/gAAAOEBAAATAAAAAAAAAAAAAAAAAAAA&#10;AABbQ29udGVudF9UeXBlc10ueG1sUEsBAi0AFAAGAAgAAAAhADj9If/WAAAAlAEAAAsAAAAAAAAA&#10;AAAAAAAALwEAAF9yZWxzLy5yZWxzUEsBAi0AFAAGAAgAAAAhADXrxoY4AgAAOQQAAA4AAAAAAAAA&#10;AAAAAAAALgIAAGRycy9lMm9Eb2MueG1sUEsBAi0AFAAGAAgAAAAhAMjTDEXfAAAACgEAAA8AAAAA&#10;AAAAAAAAAAAAkgQAAGRycy9kb3ducmV2LnhtbFBLBQYAAAAABAAEAPMAAACeBQAAAAA=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421D50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421D50" w:rsidRPr="00FA1D76" w:rsidRDefault="00421D50" w:rsidP="00421D50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A1D76">
                            <w:rPr>
                              <w:rFonts w:ascii="Calibri" w:hAnsi="Calibri"/>
                            </w:rPr>
                            <w:t>From:</w:t>
                          </w:r>
                          <w:r w:rsidRPr="00FA1D76">
                            <w:rPr>
                              <w:rFonts w:ascii="Calibri" w:hAnsi="Calibri"/>
                            </w:rPr>
                            <w:tab/>
                          </w:r>
                          <w:r w:rsidRPr="00002602">
                            <w:rPr>
                              <w:rFonts w:ascii="Calibri" w:hAnsi="Calibri"/>
                            </w:rPr>
                            <w:t>IALA</w:t>
                          </w:r>
                          <w:r w:rsidR="002836C8" w:rsidRPr="00002602">
                            <w:rPr>
                              <w:rFonts w:ascii="Calibri" w:hAnsi="Calibri"/>
                            </w:rPr>
                            <w:t xml:space="preserve"> ENAV</w:t>
                          </w:r>
                          <w:r w:rsidR="005C5AC7" w:rsidRPr="00002602">
                            <w:rPr>
                              <w:rFonts w:ascii="Calibri" w:hAnsi="Calibri"/>
                            </w:rPr>
                            <w:t xml:space="preserve"> </w:t>
                          </w:r>
                          <w:r w:rsidRPr="00002602">
                            <w:rPr>
                              <w:rFonts w:ascii="Calibri" w:hAnsi="Calibri"/>
                            </w:rPr>
                            <w:t>Committee</w:t>
                          </w:r>
                        </w:p>
                      </w:tc>
                    </w:tr>
                    <w:tr w:rsidR="00421D50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421D50" w:rsidRPr="00FA1D76" w:rsidRDefault="00421D50" w:rsidP="005C5AC7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A1D76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FA1D76">
                            <w:rPr>
                              <w:rFonts w:ascii="Calibri" w:hAnsi="Calibri"/>
                            </w:rPr>
                            <w:tab/>
                          </w:r>
                          <w:r w:rsidR="002836C8">
                            <w:rPr>
                              <w:rFonts w:ascii="Calibri" w:hAnsi="Calibri"/>
                            </w:rPr>
                            <w:t>ENAV24-12.3.3</w:t>
                          </w:r>
                        </w:p>
                      </w:tc>
                    </w:tr>
                    <w:tr w:rsidR="00421D50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421D50" w:rsidRPr="00FA1D76" w:rsidRDefault="00002602" w:rsidP="00421D50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</w:rPr>
                            <w:t>11 October</w:t>
                          </w:r>
                          <w:r w:rsidR="00421D50" w:rsidRPr="00FA1D76">
                            <w:rPr>
                              <w:rFonts w:ascii="Calibri" w:hAnsi="Calibri"/>
                            </w:rPr>
                            <w:t xml:space="preserve"> 201</w:t>
                          </w:r>
                          <w:r>
                            <w:rPr>
                              <w:rFonts w:ascii="Calibri" w:hAnsi="Calibri"/>
                            </w:rPr>
                            <w:t>9</w:t>
                          </w:r>
                        </w:p>
                      </w:tc>
                    </w:tr>
                  </w:tbl>
                  <w:p w:rsidR="001144E2" w:rsidRDefault="001144E2" w:rsidP="000B4199"/>
                </w:txbxContent>
              </v:textbox>
            </v:shape>
          </w:pict>
        </mc:Fallback>
      </mc:AlternateContent>
    </w:r>
    <w:r w:rsidR="009D3727">
      <w:rPr>
        <w:noProof/>
        <w:lang w:val="en-GB" w:eastAsia="en-GB"/>
      </w:rPr>
      <w:drawing>
        <wp:inline distT="0" distB="0" distL="0" distR="0" wp14:anchorId="6A1FAA72" wp14:editId="5BDAC901">
          <wp:extent cx="809625" cy="78907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116" cy="7954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0C8778B"/>
    <w:multiLevelType w:val="hybridMultilevel"/>
    <w:tmpl w:val="B65806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37E91"/>
    <w:multiLevelType w:val="multilevel"/>
    <w:tmpl w:val="147644E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6"/>
  </w:num>
  <w:num w:numId="6">
    <w:abstractNumId w:val="12"/>
  </w:num>
  <w:num w:numId="7">
    <w:abstractNumId w:val="9"/>
  </w:num>
  <w:num w:numId="8">
    <w:abstractNumId w:val="0"/>
  </w:num>
  <w:num w:numId="9">
    <w:abstractNumId w:val="5"/>
  </w:num>
  <w:num w:numId="10">
    <w:abstractNumId w:val="1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7"/>
  </w:num>
  <w:num w:numId="17">
    <w:abstractNumId w:val="15"/>
  </w:num>
  <w:num w:numId="18">
    <w:abstractNumId w:val="4"/>
  </w:num>
  <w:num w:numId="19">
    <w:abstractNumId w:val="14"/>
  </w:num>
  <w:num w:numId="20">
    <w:abstractNumId w:val="10"/>
  </w:num>
  <w:num w:numId="21">
    <w:abstractNumId w:val="7"/>
  </w:num>
  <w:num w:numId="22">
    <w:abstractNumId w:val="7"/>
  </w:num>
  <w:num w:numId="23">
    <w:abstractNumId w:val="7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8"/>
  </w:num>
  <w:num w:numId="27">
    <w:abstractNumId w:val="1"/>
  </w:num>
  <w:num w:numId="28">
    <w:abstractNumId w:val="1"/>
  </w:num>
  <w:num w:numId="29">
    <w:abstractNumId w:val="1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D0"/>
    <w:rsid w:val="00002602"/>
    <w:rsid w:val="00031339"/>
    <w:rsid w:val="00031A92"/>
    <w:rsid w:val="000348ED"/>
    <w:rsid w:val="00036801"/>
    <w:rsid w:val="00050DA7"/>
    <w:rsid w:val="0007496D"/>
    <w:rsid w:val="000A5A01"/>
    <w:rsid w:val="000B4199"/>
    <w:rsid w:val="000C6466"/>
    <w:rsid w:val="00112CDB"/>
    <w:rsid w:val="001144E2"/>
    <w:rsid w:val="00114CAC"/>
    <w:rsid w:val="00135447"/>
    <w:rsid w:val="00152273"/>
    <w:rsid w:val="001C74CF"/>
    <w:rsid w:val="00203C0C"/>
    <w:rsid w:val="002836C8"/>
    <w:rsid w:val="00286CD0"/>
    <w:rsid w:val="003C38E9"/>
    <w:rsid w:val="003D55DD"/>
    <w:rsid w:val="003E08EF"/>
    <w:rsid w:val="003F09F0"/>
    <w:rsid w:val="00421D50"/>
    <w:rsid w:val="00424954"/>
    <w:rsid w:val="0047785C"/>
    <w:rsid w:val="004C220D"/>
    <w:rsid w:val="004D3B5E"/>
    <w:rsid w:val="004E5118"/>
    <w:rsid w:val="00500599"/>
    <w:rsid w:val="005453A6"/>
    <w:rsid w:val="0057083F"/>
    <w:rsid w:val="005A0926"/>
    <w:rsid w:val="005A22B1"/>
    <w:rsid w:val="005A638C"/>
    <w:rsid w:val="005B50DE"/>
    <w:rsid w:val="005C5AC7"/>
    <w:rsid w:val="005D05AC"/>
    <w:rsid w:val="005D13E3"/>
    <w:rsid w:val="00630F7F"/>
    <w:rsid w:val="0064435F"/>
    <w:rsid w:val="0067273B"/>
    <w:rsid w:val="006E3952"/>
    <w:rsid w:val="006F3942"/>
    <w:rsid w:val="00711656"/>
    <w:rsid w:val="007139B8"/>
    <w:rsid w:val="00727E88"/>
    <w:rsid w:val="00775878"/>
    <w:rsid w:val="00785F11"/>
    <w:rsid w:val="007D796E"/>
    <w:rsid w:val="00872453"/>
    <w:rsid w:val="008D5CC9"/>
    <w:rsid w:val="00902AA4"/>
    <w:rsid w:val="009D3727"/>
    <w:rsid w:val="009F3B6C"/>
    <w:rsid w:val="009F5C36"/>
    <w:rsid w:val="00A27F12"/>
    <w:rsid w:val="00A30579"/>
    <w:rsid w:val="00AA76C0"/>
    <w:rsid w:val="00AF21AC"/>
    <w:rsid w:val="00B077EC"/>
    <w:rsid w:val="00B15B24"/>
    <w:rsid w:val="00B8247E"/>
    <w:rsid w:val="00BC3FB4"/>
    <w:rsid w:val="00BF48F3"/>
    <w:rsid w:val="00C064EF"/>
    <w:rsid w:val="00CF6499"/>
    <w:rsid w:val="00D06745"/>
    <w:rsid w:val="00DE183D"/>
    <w:rsid w:val="00E06C14"/>
    <w:rsid w:val="00E64E0D"/>
    <w:rsid w:val="00E92C22"/>
    <w:rsid w:val="00E93C9B"/>
    <w:rsid w:val="00EB572C"/>
    <w:rsid w:val="00EE3F2F"/>
    <w:rsid w:val="00EF1442"/>
    <w:rsid w:val="00FA1D76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5:docId w15:val="{0F7667C5-DB5C-42EF-A423-EC041548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5A638C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BC3FB4"/>
    <w:pPr>
      <w:spacing w:after="120"/>
      <w:jc w:val="both"/>
    </w:pPr>
    <w:rPr>
      <w:rFonts w:ascii="Calibri" w:hAnsi="Calibri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BC3FB4"/>
    <w:rPr>
      <w:rFonts w:ascii="Calibri" w:hAnsi="Calibri"/>
      <w:sz w:val="22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TitleChar">
    <w:name w:val="Title Char"/>
    <w:basedOn w:val="DefaultParagraphFont"/>
    <w:link w:val="Title"/>
    <w:rsid w:val="00421D50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Plenary Room</cp:lastModifiedBy>
  <cp:revision>5</cp:revision>
  <cp:lastPrinted>2006-10-19T10:49:00Z</cp:lastPrinted>
  <dcterms:created xsi:type="dcterms:W3CDTF">2019-10-10T10:10:00Z</dcterms:created>
  <dcterms:modified xsi:type="dcterms:W3CDTF">2019-10-10T14:37:00Z</dcterms:modified>
</cp:coreProperties>
</file>